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5313C">
        <w:rPr>
          <w:rFonts w:asciiTheme="minorHAnsi" w:eastAsia="Times New Roman" w:hAnsiTheme="minorHAnsi" w:cstheme="minorHAnsi"/>
          <w:lang w:eastAsia="pt-BR"/>
        </w:rPr>
        <w:t>35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5313C" w:rsidRPr="00A5313C" w:rsidRDefault="00A5313C" w:rsidP="00A5313C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RESPOSTA </w:t>
      </w:r>
      <w:r w:rsidRPr="00A5313C">
        <w:rPr>
          <w:rFonts w:eastAsia="Calibri"/>
          <w:b/>
          <w:lang w:eastAsia="en-US"/>
        </w:rPr>
        <w:t>À</w:t>
      </w:r>
      <w:proofErr w:type="gramEnd"/>
      <w:r w:rsidRPr="00A5313C">
        <w:rPr>
          <w:rFonts w:eastAsia="Calibri"/>
          <w:b/>
          <w:lang w:eastAsia="en-US"/>
        </w:rPr>
        <w:t xml:space="preserve"> </w:t>
      </w:r>
      <w:r w:rsidRPr="00A5313C">
        <w:rPr>
          <w:rFonts w:eastAsia="Calibri"/>
          <w:b/>
          <w:bCs/>
          <w:lang w:eastAsia="en-US"/>
        </w:rPr>
        <w:t>CARTA DE QUESTIONAMENTO</w:t>
      </w:r>
    </w:p>
    <w:p w:rsidR="00A5313C" w:rsidRPr="00A5313C" w:rsidRDefault="00A5313C" w:rsidP="00A5313C">
      <w:pPr>
        <w:suppressAutoHyphens w:val="0"/>
        <w:spacing w:line="360" w:lineRule="auto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lang w:eastAsia="en-US"/>
        </w:rPr>
      </w:pPr>
      <w:r w:rsidRPr="00A5313C">
        <w:rPr>
          <w:rFonts w:eastAsia="Calibri"/>
          <w:b/>
          <w:lang w:eastAsia="en-US"/>
        </w:rPr>
        <w:t>RERERÊNCIA</w:t>
      </w:r>
      <w:r w:rsidRPr="00A5313C">
        <w:rPr>
          <w:rFonts w:eastAsia="Calibri"/>
          <w:lang w:eastAsia="en-US"/>
        </w:rPr>
        <w:t>: EDITAL DE PREGÃO ELETRÔNICO PE 035/2022 –CONTRATAÇÃO DA PRESTAÇÃO DE SERVIÇOS DE MANUTENÇÃO PREVENTIVA E CORRETIVA EM SISTEMAS, EQUIPAMENTOS E INSTALAÇÕES DE AR CONDICIONADO NA SECRETARIA MUNICIPAL DE FAZENDA DE NITERÓI – SMF, COM FORNECIMENTO DE MÃO DE OBRA, INSUMOS, FERRAMENTAS E REPOSIÇÃO DE PEÇAS (RECOMENDADAS PELO FABRICANTE) QUE SE REVELEM NECESSÁRIOS PARA O SERVIÇO, CONFORME AS ESPECIFICAÇÕES CONSTANTES DO ANEXO I – TERMO DE REFERÊNCIA DO OBJETO.</w:t>
      </w: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lang w:eastAsia="en-US"/>
        </w:rPr>
      </w:pPr>
      <w:r w:rsidRPr="00A5313C">
        <w:rPr>
          <w:rFonts w:eastAsia="Calibri"/>
          <w:b/>
          <w:lang w:eastAsia="en-US"/>
        </w:rPr>
        <w:t>ASSUNTO</w:t>
      </w:r>
      <w:r w:rsidRPr="00A5313C">
        <w:rPr>
          <w:rFonts w:eastAsia="Calibri"/>
          <w:lang w:eastAsia="en-US"/>
        </w:rPr>
        <w:t>: RESPOSTA À CARTA DE QUESTIONAMENTO AO EDITAL PE 035/2022</w:t>
      </w: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lang w:eastAsia="en-US"/>
        </w:rPr>
      </w:pPr>
      <w:r w:rsidRPr="00A5313C">
        <w:rPr>
          <w:rFonts w:eastAsia="Calibri"/>
          <w:b/>
          <w:lang w:eastAsia="en-US"/>
        </w:rPr>
        <w:t>PROCESSO ADMINISTRATIVO N°</w:t>
      </w:r>
      <w:r w:rsidRPr="00A5313C">
        <w:rPr>
          <w:rFonts w:eastAsia="Calibri"/>
          <w:lang w:eastAsia="en-US"/>
        </w:rPr>
        <w:t>: 030/000379/2022</w:t>
      </w: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/>
          <w:lang w:eastAsia="en-US"/>
        </w:rPr>
        <w:t>REQUERENTE</w:t>
      </w:r>
      <w:r w:rsidRPr="00A5313C">
        <w:rPr>
          <w:rFonts w:eastAsia="Calibri"/>
          <w:lang w:eastAsia="en-US"/>
        </w:rPr>
        <w:t>: IRIS PROJETOS COMÉRCIO E SERVIÇOS EIRELI</w:t>
      </w: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/>
        <w:jc w:val="center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/>
          <w:bCs/>
          <w:iCs/>
          <w:bdr w:val="none" w:sz="0" w:space="0" w:color="auto" w:frame="1"/>
          <w:shd w:val="clear" w:color="auto" w:fill="FFFFFF"/>
          <w:lang w:eastAsia="en-US"/>
        </w:rPr>
        <w:t>DAS RAZÕES DO QUESTIONAMENTO</w:t>
      </w:r>
    </w:p>
    <w:p w:rsidR="00A5313C" w:rsidRPr="00A5313C" w:rsidRDefault="00A5313C" w:rsidP="00A5313C">
      <w:pPr>
        <w:suppressAutoHyphens w:val="0"/>
        <w:spacing w:line="360" w:lineRule="auto"/>
        <w:ind w:right="6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 w:firstLine="70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 xml:space="preserve">A empresa </w:t>
      </w:r>
      <w:r w:rsidRPr="00A5313C">
        <w:rPr>
          <w:rFonts w:eastAsia="Calibri"/>
          <w:b/>
          <w:bCs/>
          <w:lang w:eastAsia="en-US"/>
        </w:rPr>
        <w:t>IRIS PROJETOS COMÉRCIO E SERVIÇOS EIRELI</w:t>
      </w: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 xml:space="preserve"> apresentou Carta de Questionamento ao </w:t>
      </w:r>
      <w:r w:rsidRPr="00A5313C">
        <w:rPr>
          <w:rFonts w:eastAsia="Calibri"/>
          <w:b/>
          <w:bCs/>
          <w:iCs/>
          <w:bdr w:val="none" w:sz="0" w:space="0" w:color="auto" w:frame="1"/>
          <w:shd w:val="clear" w:color="auto" w:fill="FFFFFF"/>
          <w:lang w:eastAsia="en-US"/>
        </w:rPr>
        <w:t>Edital de Pregão Eletrônico PE 035/2022</w:t>
      </w: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>, que tem como objeto a</w:t>
      </w:r>
      <w:r w:rsidRPr="00A5313C">
        <w:rPr>
          <w:rFonts w:eastAsia="Calibri"/>
          <w:lang w:eastAsia="en-US"/>
        </w:rPr>
        <w:t xml:space="preserve"> prestação de serviços de manutenção preventiva e corretiva em sistemas, equipamentos e instalações de ar-condicionado na Secretaria Municipal de Fazenda – SMF</w:t>
      </w: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>.</w:t>
      </w:r>
    </w:p>
    <w:p w:rsidR="00A5313C" w:rsidRPr="00A5313C" w:rsidRDefault="00A5313C" w:rsidP="00A5313C">
      <w:pPr>
        <w:suppressAutoHyphens w:val="0"/>
        <w:spacing w:line="360" w:lineRule="auto"/>
        <w:ind w:right="68" w:firstLine="70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>Questiona a empresa, em síntese, se a redação do item 10.2 do Termo de Referência se refere à necessidade de a empresa licitante comprovar possuir em seus quadros, profissional que seja vinculado ao Conselho Federal de Técnicos Industriais.</w:t>
      </w:r>
    </w:p>
    <w:p w:rsidR="00A5313C" w:rsidRPr="00A5313C" w:rsidRDefault="00A5313C" w:rsidP="00A5313C">
      <w:pPr>
        <w:suppressAutoHyphens w:val="0"/>
        <w:spacing w:line="360" w:lineRule="auto"/>
        <w:ind w:right="68" w:firstLine="709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suppressAutoHyphens w:val="0"/>
        <w:spacing w:line="360" w:lineRule="auto"/>
        <w:ind w:right="68" w:firstLine="709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>O referido item possui a seguinte redação:</w:t>
      </w:r>
    </w:p>
    <w:p w:rsidR="00A5313C" w:rsidRPr="00A5313C" w:rsidRDefault="00A5313C" w:rsidP="00A5313C">
      <w:pPr>
        <w:suppressAutoHyphens w:val="0"/>
        <w:spacing w:line="276" w:lineRule="auto"/>
        <w:ind w:right="68" w:firstLine="70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“10.2. A licitante deverá comprovar que possui em seu quadro permanente, na data prevista para assinatura do contrato, os profissionais habilitados para o serviço, conforme previsto nas normas técnicas aplicáveis, entre as quais destacam-se:</w:t>
      </w: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. A Lei nº 13.589, de 4 de janeiro de 2018, que “Dispõe sobre a manutenção de instalações e equipamentos de sistemas de climatização de ambientes”;</w:t>
      </w: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. Lei nº 13.639, de 26 de março de 2018, que “Cria o Conselho Federal dos Técnicos Industriais, o Conselho Federal dos Técnicos Agrícolas, os Conselhos Regionais dos Técnicos Industriais e os Conselhos Regionais dos Técnicos Agrícolas”;</w:t>
      </w: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.  Resolução n° 068 de 24 de maio de 2019, que define os profissionais técnicos habilitados para elaboração e execução do PMOC - Plano de Manutenção, Operação e Controle de sistemas de climatização de ambiente.</w:t>
      </w: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. Resolução ANVISA - RE n º 176, de 24 de outubro de 2000, que determina a “Orientação Técnica elaborada por Grupo Técnico Assessor, sobre Padrões Referenciais de Qualidade do Ar Interior, em ambientes climatizados artificialmente de uso público e coletivo”;</w:t>
      </w: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. Portaria nº 3.523 do Ministério da Saúde, de 28 de agosto de 1998, que aprova o “Regulamento Técnico contendo medidas básicas referentes aos procedimentos de verificação visual do estado de limpeza, remoção de sujidades por métodos físicos e manutenção do estado de integridade e eficiência de todos os componentes dos sistemas de climatização, para garantir a Qualidade do Ar de Interiores e prevenção de riscos à saúde dos ocupantes de ambientes climatizados”;</w:t>
      </w: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.  NBR 14679 – “Sistemas de condicionamento de ar e ventilação - Execução de serviços de higienização”.</w:t>
      </w:r>
    </w:p>
    <w:p w:rsidR="00A5313C" w:rsidRPr="00A5313C" w:rsidRDefault="00A5313C" w:rsidP="00A5313C">
      <w:pPr>
        <w:widowControl w:val="0"/>
        <w:tabs>
          <w:tab w:val="left" w:pos="428"/>
        </w:tabs>
        <w:suppressAutoHyphens w:val="0"/>
        <w:ind w:right="62"/>
        <w:jc w:val="both"/>
        <w:rPr>
          <w:rFonts w:eastAsia="Garamond"/>
          <w:spacing w:val="1"/>
          <w:lang w:eastAsia="en-US"/>
        </w:rPr>
      </w:pPr>
    </w:p>
    <w:p w:rsidR="00A5313C" w:rsidRPr="00A5313C" w:rsidRDefault="00A5313C" w:rsidP="00A5313C">
      <w:pPr>
        <w:widowControl w:val="0"/>
        <w:suppressAutoHyphens w:val="0"/>
        <w:overflowPunct w:val="0"/>
        <w:adjustRightInd w:val="0"/>
        <w:spacing w:line="276" w:lineRule="auto"/>
        <w:ind w:leftChars="709" w:left="1702" w:right="68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center"/>
        <w:rPr>
          <w:rFonts w:eastAsia="Calibri"/>
          <w:lang w:eastAsia="en-US"/>
        </w:rPr>
      </w:pPr>
      <w:r w:rsidRPr="00A5313C">
        <w:rPr>
          <w:rFonts w:eastAsia="Calibri"/>
          <w:b/>
          <w:lang w:eastAsia="en-US"/>
        </w:rPr>
        <w:t xml:space="preserve">DA RESPOSTA À </w:t>
      </w:r>
      <w:r w:rsidRPr="00A5313C">
        <w:rPr>
          <w:rFonts w:eastAsia="Calibri"/>
          <w:b/>
          <w:bCs/>
          <w:lang w:eastAsia="en-US"/>
        </w:rPr>
        <w:t>CARTA DE QUESTIONAMENTO</w:t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rPr>
          <w:rFonts w:eastAsia="Calibri"/>
          <w:lang w:eastAsia="en-US"/>
        </w:rPr>
      </w:pPr>
    </w:p>
    <w:p w:rsidR="00A5313C" w:rsidRPr="00A5313C" w:rsidRDefault="00A5313C" w:rsidP="00A5313C">
      <w:pPr>
        <w:widowControl w:val="0"/>
        <w:tabs>
          <w:tab w:val="left" w:pos="428"/>
        </w:tabs>
        <w:suppressAutoHyphens w:val="0"/>
        <w:spacing w:after="120" w:line="360" w:lineRule="auto"/>
        <w:jc w:val="both"/>
        <w:rPr>
          <w:rFonts w:eastAsia="Garamond"/>
          <w:spacing w:val="1"/>
          <w:lang w:eastAsia="en-US"/>
        </w:rPr>
      </w:pPr>
      <w:r w:rsidRPr="00A5313C">
        <w:rPr>
          <w:rFonts w:eastAsia="Garamond"/>
          <w:spacing w:val="1"/>
          <w:lang w:eastAsia="en-US"/>
        </w:rPr>
        <w:tab/>
      </w:r>
      <w:r w:rsidRPr="00A5313C">
        <w:rPr>
          <w:rFonts w:eastAsia="Garamond"/>
          <w:spacing w:val="1"/>
          <w:lang w:eastAsia="en-US"/>
        </w:rPr>
        <w:tab/>
        <w:t xml:space="preserve">Pelo trecho do Termo de Referência transcrito acima, percebe-se que o documento estabeleceu como exigência às licitantes que observem as </w:t>
      </w:r>
      <w:r w:rsidRPr="00A5313C">
        <w:rPr>
          <w:rFonts w:eastAsia="Garamond"/>
          <w:b/>
          <w:spacing w:val="1"/>
          <w:u w:val="single"/>
          <w:lang w:eastAsia="en-US"/>
        </w:rPr>
        <w:t>recentes normas específicas sobre manutenção de instalações e equipamentos de sistemas de climatização de ambientes</w:t>
      </w:r>
      <w:r w:rsidRPr="00A5313C">
        <w:rPr>
          <w:rFonts w:eastAsia="Garamond"/>
          <w:spacing w:val="1"/>
          <w:lang w:eastAsia="en-US"/>
        </w:rPr>
        <w:t xml:space="preserve">, dentre as quais se destacam: </w:t>
      </w:r>
      <w:r w:rsidRPr="00A5313C">
        <w:rPr>
          <w:rFonts w:eastAsia="Garamond"/>
          <w:spacing w:val="1"/>
          <w:u w:val="single"/>
          <w:lang w:eastAsia="en-US"/>
        </w:rPr>
        <w:t>Lei nº 13.589/2018</w:t>
      </w:r>
      <w:r w:rsidRPr="00A5313C">
        <w:rPr>
          <w:rFonts w:eastAsia="Garamond"/>
          <w:spacing w:val="1"/>
          <w:lang w:eastAsia="en-US"/>
        </w:rPr>
        <w:t xml:space="preserve">, </w:t>
      </w:r>
      <w:r w:rsidRPr="00A5313C">
        <w:rPr>
          <w:rFonts w:eastAsia="Garamond"/>
          <w:bCs/>
          <w:color w:val="000000"/>
          <w:spacing w:val="1"/>
          <w:u w:val="single"/>
          <w:lang w:eastAsia="en-US"/>
        </w:rPr>
        <w:t>Lei nº 13.639/2019</w:t>
      </w:r>
      <w:r w:rsidRPr="00A5313C">
        <w:rPr>
          <w:rFonts w:eastAsia="Garamond"/>
          <w:bCs/>
          <w:color w:val="000000"/>
          <w:spacing w:val="1"/>
          <w:lang w:eastAsia="en-US"/>
        </w:rPr>
        <w:t xml:space="preserve"> e </w:t>
      </w:r>
      <w:r w:rsidRPr="00A5313C">
        <w:rPr>
          <w:rFonts w:eastAsia="Garamond"/>
          <w:spacing w:val="1"/>
          <w:u w:val="single"/>
          <w:lang w:eastAsia="en-US"/>
        </w:rPr>
        <w:t>Resolução n° 068</w:t>
      </w:r>
      <w:r w:rsidRPr="00A5313C">
        <w:rPr>
          <w:rFonts w:eastAsia="Garamond"/>
          <w:spacing w:val="1"/>
          <w:lang w:eastAsia="en-US"/>
        </w:rPr>
        <w:t xml:space="preserve"> de 24 de maio de 2019</w:t>
      </w:r>
      <w:r w:rsidRPr="00A5313C">
        <w:rPr>
          <w:rFonts w:eastAsia="Garamond"/>
          <w:i/>
          <w:spacing w:val="1"/>
          <w:lang w:eastAsia="en-US"/>
        </w:rPr>
        <w:t>.</w:t>
      </w:r>
      <w:r w:rsidRPr="00A5313C">
        <w:rPr>
          <w:rFonts w:eastAsia="Garamond"/>
          <w:spacing w:val="1"/>
          <w:lang w:eastAsia="en-US"/>
        </w:rPr>
        <w:t xml:space="preserve"> Passamos à análise detalhada de cada uma delas.</w:t>
      </w:r>
    </w:p>
    <w:p w:rsidR="00A5313C" w:rsidRPr="00A5313C" w:rsidRDefault="00A5313C" w:rsidP="00A5313C">
      <w:pPr>
        <w:suppressAutoHyphens w:val="0"/>
        <w:spacing w:after="120" w:line="360" w:lineRule="auto"/>
        <w:ind w:right="6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ab/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 xml:space="preserve">De acordo com o </w:t>
      </w:r>
      <w:r w:rsidRPr="00A5313C">
        <w:rPr>
          <w:rFonts w:eastAsia="Calibri"/>
          <w:b/>
          <w:bCs/>
          <w:iCs/>
          <w:bdr w:val="none" w:sz="0" w:space="0" w:color="auto" w:frame="1"/>
          <w:shd w:val="clear" w:color="auto" w:fill="FFFFFF"/>
          <w:lang w:eastAsia="en-US"/>
        </w:rPr>
        <w:t xml:space="preserve">art. 1° da Lei </w:t>
      </w:r>
      <w:r w:rsidRPr="00A5313C">
        <w:rPr>
          <w:rFonts w:eastAsia="Calibri"/>
          <w:b/>
          <w:lang w:eastAsia="en-US"/>
        </w:rPr>
        <w:t>nº 13.589/2018</w:t>
      </w:r>
      <w:r w:rsidRPr="00A5313C">
        <w:rPr>
          <w:rFonts w:eastAsia="Calibri"/>
          <w:lang w:eastAsia="en-US"/>
        </w:rPr>
        <w:t xml:space="preserve">, os edifícios de uso público e coletivo com climatização de interiores deverão possuir um </w:t>
      </w:r>
      <w:r w:rsidRPr="00A5313C">
        <w:rPr>
          <w:rFonts w:eastAsia="Calibri"/>
          <w:b/>
          <w:color w:val="000000"/>
          <w:lang w:eastAsia="en-US"/>
        </w:rPr>
        <w:t>Plano de Manutenção, Operação e Controle – PMOC</w:t>
      </w: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>:</w:t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8"/>
        <w:jc w:val="both"/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</w:pP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 xml:space="preserve"> “</w:t>
      </w:r>
      <w:r w:rsidRPr="00A5313C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eastAsia="en-US"/>
        </w:rPr>
        <w:t>Art. 1°</w:t>
      </w:r>
      <w:r w:rsidRPr="00A5313C">
        <w:rPr>
          <w:rFonts w:eastAsia="Calibri"/>
          <w:bCs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5313C">
        <w:rPr>
          <w:rFonts w:eastAsia="Calibri"/>
          <w:i/>
          <w:lang w:eastAsia="en-US"/>
        </w:rPr>
        <w:t xml:space="preserve">Todos os edifícios de uso público e coletivo que possuem ambientes de ar interior climatizado artificialmente devem dispor de um Plano de Manutenção, Operação e Controle – PMOC dos respectivos sistemas de climatização, visando à eliminação ou minimização de riscos potenciais à saúde dos </w:t>
      </w:r>
      <w:proofErr w:type="gramStart"/>
      <w:r w:rsidRPr="00A5313C">
        <w:rPr>
          <w:rFonts w:eastAsia="Calibri"/>
          <w:i/>
          <w:lang w:eastAsia="en-US"/>
        </w:rPr>
        <w:t>ocupantes</w:t>
      </w:r>
      <w:r w:rsidRPr="00A5313C">
        <w:rPr>
          <w:rFonts w:ascii="Arial" w:eastAsia="Calibri" w:hAnsi="Arial" w:cs="Arial"/>
          <w:sz w:val="22"/>
          <w:szCs w:val="22"/>
          <w:lang w:eastAsia="en-US"/>
        </w:rPr>
        <w:t>.”</w:t>
      </w:r>
      <w:proofErr w:type="gramEnd"/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bCs/>
          <w:color w:val="000000"/>
          <w:lang w:eastAsia="en-US"/>
        </w:rPr>
      </w:pPr>
      <w:r w:rsidRPr="00A5313C">
        <w:rPr>
          <w:rFonts w:eastAsia="Calibri"/>
          <w:lang w:eastAsia="en-US"/>
        </w:rPr>
        <w:t xml:space="preserve">Já a </w:t>
      </w:r>
      <w:r w:rsidRPr="00A5313C">
        <w:rPr>
          <w:rFonts w:eastAsia="Calibri"/>
          <w:b/>
          <w:bCs/>
          <w:color w:val="000000"/>
          <w:lang w:eastAsia="en-US"/>
        </w:rPr>
        <w:t>Lei nº 13.639/2019</w:t>
      </w:r>
      <w:r w:rsidRPr="00A5313C">
        <w:rPr>
          <w:rFonts w:eastAsia="Calibri"/>
          <w:bCs/>
          <w:color w:val="000000"/>
          <w:lang w:eastAsia="en-US"/>
        </w:rPr>
        <w:t xml:space="preserve"> cria o Conselho </w:t>
      </w:r>
      <w:r w:rsidRPr="00A5313C">
        <w:rPr>
          <w:rFonts w:eastAsia="Calibri"/>
          <w:color w:val="000000"/>
          <w:lang w:eastAsia="en-US"/>
        </w:rPr>
        <w:t>Federal dos Técnicos Industriais:</w:t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color w:val="000000"/>
          <w:lang w:eastAsia="en-US"/>
        </w:rPr>
      </w:pPr>
      <w:r w:rsidRPr="00A5313C">
        <w:rPr>
          <w:rFonts w:eastAsia="Calibri"/>
          <w:i/>
          <w:color w:val="000000"/>
          <w:lang w:eastAsia="en-US"/>
        </w:rPr>
        <w:t xml:space="preserve">“Art. 1º São criados o Conselho Federal dos Técnicos Industriais, o Conselho Federal dos Técnicos Agrícolas, os Conselhos Regionais dos Técnicos Industriais e os Conselhos Regionais dos Técnicos Agrícolas, autarquias com autonomia administrativa e financeira e com estrutura </w:t>
      </w:r>
      <w:proofErr w:type="gramStart"/>
      <w:r w:rsidRPr="00A5313C">
        <w:rPr>
          <w:rFonts w:eastAsia="Calibri"/>
          <w:i/>
          <w:color w:val="000000"/>
          <w:lang w:eastAsia="en-US"/>
        </w:rPr>
        <w:t>federativa.”</w:t>
      </w:r>
      <w:proofErr w:type="gramEnd"/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color w:val="000000"/>
          <w:lang w:eastAsia="en-US"/>
        </w:rPr>
      </w:pPr>
      <w:r w:rsidRPr="00A5313C">
        <w:rPr>
          <w:rFonts w:eastAsia="Calibri"/>
          <w:color w:val="000000"/>
          <w:lang w:eastAsia="en-US"/>
        </w:rPr>
        <w:t xml:space="preserve">Por fim, a </w:t>
      </w:r>
      <w:r w:rsidRPr="00A5313C">
        <w:rPr>
          <w:rFonts w:eastAsia="Calibri"/>
          <w:b/>
          <w:lang w:eastAsia="en-US"/>
        </w:rPr>
        <w:t>Resolução n° 068</w:t>
      </w:r>
      <w:r w:rsidRPr="00A5313C">
        <w:rPr>
          <w:rFonts w:eastAsia="Calibri"/>
          <w:lang w:eastAsia="en-US"/>
        </w:rPr>
        <w:t xml:space="preserve"> do próprio </w:t>
      </w:r>
      <w:r w:rsidRPr="00A5313C">
        <w:rPr>
          <w:rFonts w:eastAsia="Calibri"/>
          <w:bCs/>
          <w:color w:val="000000"/>
          <w:lang w:eastAsia="en-US"/>
        </w:rPr>
        <w:t xml:space="preserve">Conselho </w:t>
      </w:r>
      <w:r w:rsidRPr="00A5313C">
        <w:rPr>
          <w:rFonts w:eastAsia="Calibri"/>
          <w:color w:val="000000"/>
          <w:lang w:eastAsia="en-US"/>
        </w:rPr>
        <w:t xml:space="preserve">Federal dos Técnicos Industriais, que regulamenta a </w:t>
      </w:r>
      <w:r w:rsidRPr="00A5313C">
        <w:rPr>
          <w:rFonts w:eastAsia="Calibri"/>
          <w:bCs/>
          <w:color w:val="000000"/>
          <w:lang w:eastAsia="en-US"/>
        </w:rPr>
        <w:t>Lei nº 13.639/2019</w:t>
      </w:r>
      <w:r w:rsidRPr="00A5313C">
        <w:rPr>
          <w:rFonts w:eastAsia="Calibri"/>
          <w:lang w:eastAsia="en-US"/>
        </w:rPr>
        <w:t xml:space="preserve">, estabelece quais profissionais estão habilitados a elaborar o </w:t>
      </w:r>
      <w:r w:rsidRPr="00A5313C">
        <w:rPr>
          <w:rFonts w:eastAsia="Calibri"/>
          <w:color w:val="000000"/>
          <w:lang w:eastAsia="en-US"/>
        </w:rPr>
        <w:t>Plano de Manutenção, Operação e Controle – PMOC:</w:t>
      </w:r>
    </w:p>
    <w:p w:rsidR="00A5313C" w:rsidRPr="00A5313C" w:rsidRDefault="00A5313C" w:rsidP="00A5313C">
      <w:pPr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i/>
          <w:lang w:eastAsia="pt-BR"/>
        </w:rPr>
      </w:pPr>
      <w:r w:rsidRPr="00A5313C">
        <w:rPr>
          <w:rFonts w:eastAsia="Times New Roman"/>
          <w:i/>
          <w:lang w:eastAsia="pt-BR"/>
        </w:rPr>
        <w:t xml:space="preserve">“Art. 1º O </w:t>
      </w:r>
      <w:r w:rsidRPr="00A5313C">
        <w:rPr>
          <w:rFonts w:eastAsia="Times New Roman"/>
          <w:b/>
          <w:i/>
          <w:lang w:eastAsia="pt-BR"/>
        </w:rPr>
        <w:t>profissional Técnico Industrial habilitado</w:t>
      </w:r>
      <w:r w:rsidRPr="00A5313C">
        <w:rPr>
          <w:rFonts w:eastAsia="Times New Roman"/>
          <w:i/>
          <w:lang w:eastAsia="pt-BR"/>
        </w:rPr>
        <w:t xml:space="preserve"> para planejar, elaborar, executar, coordenar, controlar, inspecionar e avaliar a execução de manutenção de sistema de refrigeração e climatização, e todos os serviços do PMOC - Plano de Manutenção Operação e Controle, relacionados </w:t>
      </w:r>
      <w:r w:rsidRPr="00A5313C">
        <w:rPr>
          <w:rFonts w:eastAsia="Times New Roman"/>
          <w:b/>
          <w:i/>
          <w:lang w:eastAsia="pt-BR"/>
        </w:rPr>
        <w:t>é o Técnico em Refrigeração e Ar Condicionado, Técnico em Mecânica e o Técnico em Eletromecânica</w:t>
      </w:r>
      <w:r w:rsidRPr="00A5313C">
        <w:rPr>
          <w:rFonts w:eastAsia="Times New Roman"/>
          <w:i/>
          <w:lang w:eastAsia="pt-BR"/>
        </w:rPr>
        <w:t>.</w:t>
      </w:r>
    </w:p>
    <w:p w:rsidR="00A5313C" w:rsidRPr="00A5313C" w:rsidRDefault="00A5313C" w:rsidP="00A5313C">
      <w:pPr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i/>
          <w:lang w:eastAsia="pt-BR"/>
        </w:rPr>
      </w:pPr>
      <w:r w:rsidRPr="00A5313C">
        <w:rPr>
          <w:rFonts w:eastAsia="Times New Roman"/>
          <w:i/>
          <w:lang w:eastAsia="pt-BR"/>
        </w:rPr>
        <w:t xml:space="preserve">Art. 2º O PMOC - Plano de Manutenção Operação e Controle será registrado pelo profissional por meio do </w:t>
      </w:r>
      <w:r w:rsidRPr="00A5313C">
        <w:rPr>
          <w:rFonts w:eastAsia="Times New Roman"/>
          <w:b/>
          <w:i/>
          <w:lang w:eastAsia="pt-BR"/>
        </w:rPr>
        <w:t xml:space="preserve">TRT - Termo de Responsabilidade </w:t>
      </w:r>
      <w:proofErr w:type="gramStart"/>
      <w:r w:rsidRPr="00A5313C">
        <w:rPr>
          <w:rFonts w:eastAsia="Times New Roman"/>
          <w:b/>
          <w:i/>
          <w:lang w:eastAsia="pt-BR"/>
        </w:rPr>
        <w:t>Técnica</w:t>
      </w:r>
      <w:r w:rsidRPr="00A5313C">
        <w:rPr>
          <w:rFonts w:eastAsia="Times New Roman"/>
          <w:i/>
          <w:lang w:eastAsia="pt-BR"/>
        </w:rPr>
        <w:t>.”</w:t>
      </w:r>
      <w:proofErr w:type="gramEnd"/>
      <w:r w:rsidRPr="00A5313C">
        <w:rPr>
          <w:rFonts w:eastAsia="Times New Roman"/>
          <w:i/>
          <w:lang w:eastAsia="pt-BR"/>
        </w:rPr>
        <w:t xml:space="preserve"> </w:t>
      </w:r>
      <w:r w:rsidRPr="00A5313C">
        <w:rPr>
          <w:rFonts w:eastAsia="Times New Roman"/>
          <w:lang w:eastAsia="pt-BR"/>
        </w:rPr>
        <w:t>(</w:t>
      </w:r>
      <w:proofErr w:type="gramStart"/>
      <w:r w:rsidRPr="00A5313C">
        <w:rPr>
          <w:rFonts w:eastAsia="Times New Roman"/>
          <w:lang w:eastAsia="pt-BR"/>
        </w:rPr>
        <w:t>grifado</w:t>
      </w:r>
      <w:proofErr w:type="gramEnd"/>
      <w:r w:rsidRPr="00A5313C">
        <w:rPr>
          <w:rFonts w:eastAsia="Times New Roman"/>
          <w:lang w:eastAsia="pt-BR"/>
        </w:rPr>
        <w:t>)</w:t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lang w:eastAsia="en-US"/>
        </w:rPr>
      </w:pPr>
      <w:r w:rsidRPr="00A5313C">
        <w:rPr>
          <w:rFonts w:eastAsia="Calibri"/>
          <w:lang w:eastAsia="en-US"/>
        </w:rPr>
        <w:t>A empresa licitante, a fim de prestar o serviço ora pretendido por esta Secretaria, deverá demonstrar que possui em seus quadros profissional que atenda às exigências previstas na legislação destacada acima, bem como nas suas eventuais alterações.</w:t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both"/>
        <w:rPr>
          <w:rFonts w:eastAsia="Calibri"/>
          <w:lang w:eastAsia="en-US"/>
        </w:rPr>
      </w:pPr>
    </w:p>
    <w:p w:rsidR="00A5313C" w:rsidRPr="00A5313C" w:rsidRDefault="00A5313C" w:rsidP="00A5313C">
      <w:pPr>
        <w:suppressAutoHyphens w:val="0"/>
        <w:spacing w:after="120" w:line="360" w:lineRule="auto"/>
        <w:ind w:right="68"/>
        <w:jc w:val="center"/>
        <w:rPr>
          <w:rFonts w:eastAsia="Calibri"/>
          <w:lang w:eastAsia="en-US"/>
        </w:rPr>
      </w:pPr>
      <w:r w:rsidRPr="00A5313C">
        <w:rPr>
          <w:rFonts w:eastAsia="Calibri"/>
          <w:lang w:eastAsia="en-US"/>
        </w:rPr>
        <w:t xml:space="preserve">Niterói, 13 de </w:t>
      </w:r>
      <w:r>
        <w:rPr>
          <w:rFonts w:eastAsia="Calibri"/>
          <w:lang w:eastAsia="en-US"/>
        </w:rPr>
        <w:t>j</w:t>
      </w:r>
      <w:r w:rsidRPr="00A5313C">
        <w:rPr>
          <w:rFonts w:eastAsia="Calibri"/>
          <w:lang w:eastAsia="en-US"/>
        </w:rPr>
        <w:t>ulho de 2022.</w:t>
      </w:r>
    </w:p>
    <w:p w:rsidR="00A5313C" w:rsidRPr="00A5313C" w:rsidRDefault="00A5313C" w:rsidP="00A5313C">
      <w:pPr>
        <w:suppressAutoHyphens w:val="0"/>
        <w:spacing w:after="120" w:line="360" w:lineRule="auto"/>
        <w:ind w:right="68" w:firstLine="709"/>
        <w:jc w:val="center"/>
        <w:rPr>
          <w:rFonts w:eastAsia="Calibri"/>
          <w:lang w:eastAsia="en-US"/>
        </w:rPr>
      </w:pPr>
    </w:p>
    <w:p w:rsidR="003C25A4" w:rsidRPr="00AF69DD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  <w:bookmarkStart w:id="0" w:name="_GoBack"/>
      <w:bookmarkEnd w:id="0"/>
    </w:p>
    <w:p w:rsidR="00C71EF1" w:rsidRPr="00AF69DD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AF69DD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AF69DD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D25BF" w:rsidRDefault="00AF69DD" w:rsidP="00AF69DD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AF69DD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A5313C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A5313C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313C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84AE2D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FA00-4CC8-467A-AB4C-81737551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2022-07-13T14:44:00Z</dcterms:created>
  <dcterms:modified xsi:type="dcterms:W3CDTF">2022-07-13T14:44:00Z</dcterms:modified>
</cp:coreProperties>
</file>